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f"/>
        <w:tblW w:w="9921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63"/>
        <w:gridCol w:w="724"/>
        <w:gridCol w:w="4534"/>
      </w:tblGrid>
      <w:tr>
        <w:trPr/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«ПОДГОТОВИЛ»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«УТВЕРЖДАЮ»</w:t>
            </w:r>
          </w:p>
        </w:tc>
      </w:tr>
      <w:tr>
        <w:trPr/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Технический куратор договора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Инициатор договора</w:t>
            </w:r>
          </w:p>
        </w:tc>
      </w:tr>
      <w:tr>
        <w:trPr/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Ведущий специалист отдела комплексного обслуживания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обслуживания объектов</w:t>
            </w:r>
          </w:p>
        </w:tc>
      </w:tr>
      <w:tr>
        <w:trPr/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______________/ В.А.Стрелец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______________/ А.А. Решетникова</w:t>
            </w:r>
          </w:p>
        </w:tc>
      </w:tr>
      <w:tr>
        <w:trPr>
          <w:trHeight w:val="324" w:hRule="atLeast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«     » ____ 2026 года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«    » _______ 2026 года</w:t>
            </w:r>
          </w:p>
        </w:tc>
      </w:tr>
    </w:tbl>
    <w:p>
      <w:pPr>
        <w:pStyle w:val="Normal"/>
        <w:keepNext w:val="true"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keepNext w:val="true"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Технические требования на оказание услуг</w:t>
      </w:r>
    </w:p>
    <w:p>
      <w:pPr>
        <w:pStyle w:val="Normal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ОКПД2 81.22.11.000 Оказание услуг по мытью светопрозрачных конструкций зданий методом промышленного альпинизма на объектах филиала ПАО «РусГидро» - «Жигулевская ГЭС»</w:t>
      </w:r>
    </w:p>
    <w:p>
      <w:pPr>
        <w:pStyle w:val="Normal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Лот №</w:t>
      </w:r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ru-RU" w:eastAsia="ru-RU" w:bidi="ar-SA"/>
        </w:rPr>
        <w:t xml:space="preserve"> 0033-ТО ДОХ-2026-СК РусГидро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ListParagraph"/>
        <w:numPr>
          <w:ilvl w:val="0"/>
          <w:numId w:val="3"/>
        </w:numPr>
        <w:ind w:left="0" w:firstLine="709"/>
        <w:jc w:val="center"/>
        <w:rPr>
          <w:sz w:val="24"/>
          <w:szCs w:val="24"/>
        </w:rPr>
      </w:pPr>
      <w:bookmarkStart w:id="0" w:name="_Toc128734740"/>
      <w:r>
        <w:rPr>
          <w:b/>
          <w:bCs/>
          <w:sz w:val="24"/>
          <w:szCs w:val="24"/>
        </w:rPr>
        <w:t>Общие</w:t>
      </w:r>
      <w:r>
        <w:rPr>
          <w:b/>
          <w:sz w:val="24"/>
          <w:szCs w:val="24"/>
        </w:rPr>
        <w:t xml:space="preserve"> сведения</w:t>
      </w:r>
      <w:bookmarkEnd w:id="0"/>
    </w:p>
    <w:p>
      <w:pPr>
        <w:pStyle w:val="ListParagraph"/>
        <w:numPr>
          <w:ilvl w:val="0"/>
          <w:numId w:val="0"/>
        </w:numPr>
        <w:ind w:left="0" w:hanging="0"/>
        <w:jc w:val="center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ind w:left="0" w:firstLine="709"/>
        <w:rPr>
          <w:sz w:val="24"/>
          <w:szCs w:val="24"/>
        </w:rPr>
      </w:pPr>
      <w:bookmarkStart w:id="1" w:name="_Toc128734742"/>
      <w:bookmarkStart w:id="2" w:name="_Toc46743506"/>
      <w:r>
        <w:rPr>
          <w:b/>
          <w:bCs/>
          <w:sz w:val="24"/>
          <w:szCs w:val="24"/>
        </w:rPr>
        <w:t>Наименование закупаемой продукции</w:t>
      </w:r>
      <w:bookmarkEnd w:id="1"/>
      <w:bookmarkEnd w:id="2"/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ОКПД2 81.22.11.000 Оказание услуг по мытью светопрозрачных конструкций зданий методом промышленного альпинизма на объектах филиала ПАО «РусГидро» - «Жигулевская ГЭС».</w:t>
      </w:r>
      <w:bookmarkStart w:id="3" w:name="_Toc46743507"/>
    </w:p>
    <w:p>
      <w:pPr>
        <w:pStyle w:val="Normal"/>
        <w:ind w:firstLine="709"/>
        <w:jc w:val="both"/>
        <w:rPr>
          <w:i/>
          <w:i/>
          <w:sz w:val="12"/>
          <w:szCs w:val="12"/>
        </w:rPr>
      </w:pPr>
      <w:r>
        <w:rPr>
          <w:i/>
          <w:sz w:val="12"/>
          <w:szCs w:val="12"/>
        </w:rPr>
      </w:r>
    </w:p>
    <w:p>
      <w:pPr>
        <w:pStyle w:val="ListParagraph"/>
        <w:numPr>
          <w:ilvl w:val="1"/>
          <w:numId w:val="3"/>
        </w:numPr>
        <w:ind w:left="0" w:firstLine="709"/>
        <w:rPr>
          <w:sz w:val="24"/>
          <w:szCs w:val="24"/>
        </w:rPr>
      </w:pPr>
      <w:bookmarkStart w:id="4" w:name="_Toc128734743"/>
      <w:r>
        <w:rPr>
          <w:b/>
          <w:bCs/>
          <w:sz w:val="24"/>
          <w:szCs w:val="24"/>
        </w:rPr>
        <w:t>Цель</w:t>
      </w:r>
      <w:r>
        <w:rPr>
          <w:b/>
          <w:sz w:val="24"/>
          <w:szCs w:val="24"/>
        </w:rPr>
        <w:t xml:space="preserve"> </w:t>
      </w:r>
      <w:bookmarkEnd w:id="3"/>
      <w:r>
        <w:rPr>
          <w:b/>
          <w:sz w:val="24"/>
          <w:szCs w:val="24"/>
        </w:rPr>
        <w:t>оказания услуг</w:t>
      </w:r>
      <w:bookmarkEnd w:id="4"/>
      <w:r>
        <w:rPr>
          <w:b/>
          <w:sz w:val="24"/>
          <w:szCs w:val="24"/>
        </w:rPr>
        <w:t>: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целью исполнения доходного договора от 21.01.2026 № 1-АХРДОР-2026-ЖиГЭС, заключенного между Филиалом ПАО «РусГидро» - «Жигулевской ГЭС» и АО «СК «РусГидро», а также с целью своевременной очистки остекления зданий от загрязнений окружающей среды.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firstLine="709"/>
        <w:jc w:val="both"/>
        <w:rPr>
          <w:b w:val="false"/>
          <w:bCs/>
          <w:sz w:val="12"/>
          <w:szCs w:val="12"/>
        </w:rPr>
      </w:pPr>
      <w:r>
        <w:rPr>
          <w:b w:val="false"/>
          <w:bCs/>
          <w:sz w:val="12"/>
          <w:szCs w:val="12"/>
        </w:rPr>
      </w: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bookmarkStart w:id="5" w:name="_Toc128734744"/>
      <w:bookmarkStart w:id="6" w:name="_Toc46743508"/>
      <w:r>
        <w:rPr>
          <w:b/>
          <w:bCs/>
          <w:sz w:val="24"/>
          <w:szCs w:val="24"/>
        </w:rPr>
        <w:t>Существующее</w:t>
      </w:r>
      <w:r>
        <w:rPr>
          <w:b/>
          <w:sz w:val="24"/>
          <w:szCs w:val="24"/>
        </w:rPr>
        <w:t xml:space="preserve"> положение</w:t>
      </w:r>
      <w:bookmarkEnd w:id="5"/>
      <w:bookmarkEnd w:id="6"/>
    </w:p>
    <w:p>
      <w:pPr>
        <w:pStyle w:val="ListParagraph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Здания и сооружения Жигулевской ГЭС, находящиеся в постоянной эксплуатации, требуют периодических воздействий для сохранения и восстановления своих эксплуатационных свойств, поддержания внешнего вида поверхностей надлежащем виде.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x-none" w:eastAsia="x-none"/>
        </w:rPr>
        <w:t xml:space="preserve">Перечень объектов воздействия представлен в </w:t>
      </w:r>
      <w:r>
        <w:rPr>
          <w:sz w:val="24"/>
          <w:szCs w:val="24"/>
          <w:lang w:eastAsia="x-none"/>
        </w:rPr>
        <w:t>Таблице</w:t>
      </w:r>
      <w:r>
        <w:rPr>
          <w:sz w:val="24"/>
          <w:szCs w:val="24"/>
          <w:lang w:val="x-none" w:eastAsia="x-none"/>
        </w:rPr>
        <w:t xml:space="preserve"> </w:t>
      </w:r>
      <w:r>
        <w:rPr>
          <w:sz w:val="24"/>
          <w:szCs w:val="24"/>
          <w:lang w:eastAsia="x-none"/>
        </w:rPr>
        <w:t>1</w:t>
      </w:r>
      <w:r>
        <w:rPr>
          <w:sz w:val="24"/>
          <w:szCs w:val="24"/>
          <w:lang w:val="x-none" w:eastAsia="x-none"/>
        </w:rPr>
        <w:t>.</w:t>
      </w:r>
    </w:p>
    <w:p>
      <w:pPr>
        <w:pStyle w:val="Normal"/>
        <w:ind w:firstLine="709"/>
        <w:jc w:val="both"/>
        <w:rPr>
          <w:sz w:val="12"/>
          <w:szCs w:val="12"/>
          <w:lang w:val="x-none" w:eastAsia="x-none"/>
        </w:rPr>
      </w:pPr>
      <w:r>
        <w:rPr>
          <w:sz w:val="12"/>
          <w:szCs w:val="12"/>
          <w:lang w:val="x-none" w:eastAsia="x-none"/>
        </w:rPr>
      </w:r>
    </w:p>
    <w:p>
      <w:pPr>
        <w:pStyle w:val="Normal"/>
        <w:jc w:val="both"/>
        <w:rPr>
          <w:sz w:val="24"/>
          <w:szCs w:val="24"/>
        </w:rPr>
      </w:pPr>
      <w:bookmarkStart w:id="7" w:name="_Toc128734745"/>
      <w:r>
        <w:rPr>
          <w:b/>
          <w:sz w:val="24"/>
          <w:szCs w:val="24"/>
        </w:rPr>
        <w:t>Таблица 1. Перечень объектов Заказчика</w:t>
      </w:r>
      <w:bookmarkEnd w:id="7"/>
    </w:p>
    <w:tbl>
      <w:tblPr>
        <w:tblW w:w="1005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04"/>
        <w:gridCol w:w="1701"/>
        <w:gridCol w:w="2552"/>
        <w:gridCol w:w="2970"/>
        <w:gridCol w:w="2132"/>
      </w:tblGrid>
      <w:tr>
        <w:trPr>
          <w:trHeight w:val="20" w:hRule="atLeas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Расположение объекта </w:t>
            </w:r>
            <w:r>
              <w:rPr>
                <w:b/>
                <w:bCs/>
                <w:i/>
                <w:iCs/>
                <w:sz w:val="20"/>
                <w:szCs w:val="20"/>
              </w:rPr>
              <w:t>(место оказания услуг)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основного средства (в отношении которого оказываются услуги)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Примечания</w:t>
            </w:r>
          </w:p>
        </w:tc>
      </w:tr>
      <w:tr>
        <w:trPr>
          <w:trHeight w:val="20" w:hRule="atLeas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>
        <w:trPr>
          <w:trHeight w:val="20" w:hRule="atLeas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Здания Жигулевской ГЭС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Российская Федерация, Самарская область, г. Жигулевск, Московское шоссе, дом 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113" w:right="0" w:hanging="0"/>
              <w:contextualSpacing/>
              <w:jc w:val="left"/>
              <w:rPr/>
            </w:pPr>
            <w:r>
              <w:rPr>
                <w:sz w:val="20"/>
                <w:szCs w:val="20"/>
              </w:rPr>
              <w:t>Здание ГЭС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113" w:right="0" w:hanging="0"/>
              <w:contextualSpacing/>
              <w:jc w:val="left"/>
              <w:rPr/>
            </w:pPr>
            <w:r>
              <w:rPr>
                <w:sz w:val="20"/>
                <w:szCs w:val="20"/>
              </w:rPr>
              <w:t>ОПУ-500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113" w:right="0" w:hanging="0"/>
              <w:contextualSpacing/>
              <w:jc w:val="left"/>
              <w:rPr/>
            </w:pPr>
            <w:r>
              <w:rPr>
                <w:sz w:val="20"/>
                <w:szCs w:val="20"/>
              </w:rPr>
              <w:t>Административный корпус, ВОХР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113" w:right="0" w:hanging="0"/>
              <w:contextualSpacing/>
              <w:jc w:val="left"/>
              <w:rPr/>
            </w:pPr>
            <w:r>
              <w:rPr>
                <w:sz w:val="20"/>
                <w:szCs w:val="20"/>
              </w:rPr>
              <w:t>Административный корпус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113" w:right="0" w:hanging="0"/>
              <w:contextualSpacing/>
              <w:jc w:val="left"/>
              <w:rPr/>
            </w:pPr>
            <w:r>
              <w:rPr>
                <w:sz w:val="20"/>
                <w:szCs w:val="20"/>
              </w:rPr>
              <w:t>Здание ВОХР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113" w:right="0" w:hanging="0"/>
              <w:contextualSpacing/>
              <w:jc w:val="left"/>
              <w:rPr/>
            </w:pPr>
            <w:r>
              <w:rPr>
                <w:sz w:val="20"/>
                <w:szCs w:val="20"/>
              </w:rPr>
              <w:t>База ОМТС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113" w:right="0" w:hanging="0"/>
              <w:contextualSpacing/>
              <w:jc w:val="left"/>
              <w:rPr/>
            </w:pPr>
            <w:r>
              <w:rPr>
                <w:sz w:val="20"/>
                <w:szCs w:val="20"/>
              </w:rPr>
              <w:t>Централизованный комплекс бытовых помещений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113" w:right="0" w:hanging="0"/>
              <w:contextualSpacing/>
              <w:jc w:val="left"/>
              <w:rPr/>
            </w:pPr>
            <w:r>
              <w:rPr>
                <w:sz w:val="20"/>
                <w:szCs w:val="20"/>
              </w:rPr>
              <w:t>Пост охраны, бронебудки, броневышки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113" w:right="0" w:hanging="0"/>
              <w:contextualSpacing/>
              <w:jc w:val="left"/>
              <w:rPr/>
            </w:pPr>
            <w:r>
              <w:rPr>
                <w:sz w:val="20"/>
                <w:szCs w:val="20"/>
              </w:rPr>
              <w:t>Бюро пропусков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113" w:right="0" w:hanging="0"/>
              <w:contextualSpacing/>
              <w:jc w:val="left"/>
              <w:rPr/>
            </w:pPr>
            <w:r>
              <w:rPr>
                <w:sz w:val="20"/>
                <w:szCs w:val="20"/>
              </w:rPr>
              <w:t>Мост пешеходный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Эксплуатирующая организация Филиал ПАО «РусГидро»-«Жигулевская ГЭС»</w:t>
            </w:r>
          </w:p>
        </w:tc>
      </w:tr>
    </w:tbl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Работы выполняются на действующем энергетическом объекте при работе гидросилового оборудования со вращающимися частями и электрического оборудования, находящегося под высоким напряжением; на сооружениях вблизи проезжающего автотранспорта.</w:t>
      </w:r>
    </w:p>
    <w:p>
      <w:pPr>
        <w:pStyle w:val="Normal"/>
        <w:ind w:firstLine="709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b/>
        </w:rPr>
      </w:pPr>
      <w:bookmarkStart w:id="8" w:name="_Toc128734746"/>
      <w:r>
        <w:rPr>
          <w:b/>
        </w:rPr>
        <w:t xml:space="preserve">Информация в отношении исполнения договора, </w:t>
      </w:r>
      <w:bookmarkStart w:id="9" w:name="_Hlk46492347"/>
      <w:r>
        <w:rPr>
          <w:b/>
        </w:rPr>
        <w:t xml:space="preserve">которая должна быть учтена при подготовке заявки </w:t>
      </w:r>
      <w:bookmarkEnd w:id="9"/>
      <w:r>
        <w:rPr>
          <w:b/>
        </w:rPr>
        <w:t>(в том числе перечень ресурсов, услуг и документов, предоставляемых заказчиком на этапе исполнения договора)</w:t>
      </w:r>
      <w:bookmarkEnd w:id="8"/>
      <w:r>
        <w:rPr>
          <w:b/>
        </w:rPr>
        <w:t>.</w:t>
      </w:r>
    </w:p>
    <w:p>
      <w:pPr>
        <w:pStyle w:val="ListParagraph"/>
        <w:numPr>
          <w:ilvl w:val="2"/>
          <w:numId w:val="3"/>
        </w:numPr>
        <w:ind w:left="0" w:firstLine="709"/>
        <w:jc w:val="both"/>
        <w:rPr/>
      </w:pPr>
      <w:r>
        <w:rPr>
          <w:b w:val="false"/>
          <w:bCs w:val="false"/>
        </w:rPr>
        <w:t xml:space="preserve">Оказание услуг по мытью окон осуществляется методом </w:t>
      </w:r>
      <w:r>
        <w:rPr>
          <w:b/>
          <w:bCs/>
        </w:rPr>
        <w:t>промышленного альпинизма,</w:t>
      </w:r>
      <w:r>
        <w:rPr>
          <w:b w:val="false"/>
          <w:bCs w:val="false"/>
        </w:rPr>
        <w:t xml:space="preserve"> в соответствии с </w:t>
      </w:r>
      <w:hyperlink r:id="rId2">
        <w:r>
          <w:rPr>
            <w:b w:val="false"/>
            <w:bCs w:val="false"/>
            <w:sz w:val="24"/>
            <w:szCs w:val="24"/>
            <w:lang w:eastAsia="x-none"/>
          </w:rPr>
          <w:t>Приказ</w:t>
        </w:r>
      </w:hyperlink>
      <w:r>
        <w:rPr>
          <w:b w:val="false"/>
          <w:bCs w:val="false"/>
          <w:sz w:val="24"/>
          <w:szCs w:val="24"/>
          <w:lang w:eastAsia="x-none"/>
        </w:rPr>
        <w:t xml:space="preserve">ом Минтруда России от 16.11.2020 N 782н «Об утверждении Правил по охране труда при работе на высоте». </w:t>
      </w:r>
    </w:p>
    <w:p>
      <w:pPr>
        <w:pStyle w:val="ListParagraph"/>
        <w:numPr>
          <w:ilvl w:val="2"/>
          <w:numId w:val="3"/>
        </w:numPr>
        <w:ind w:left="0" w:firstLine="709"/>
        <w:jc w:val="both"/>
        <w:rPr/>
      </w:pPr>
      <w:r>
        <w:rPr>
          <w:b w:val="false"/>
          <w:bCs w:val="false"/>
          <w:sz w:val="24"/>
          <w:szCs w:val="24"/>
          <w:lang w:eastAsia="x-none"/>
        </w:rPr>
        <w:t>Оказание услуг осуществляется по Заявкам Заказчика, направленным в адрес Исполнителя любым доступным способом связи (электронной, телефонной, факсимильной и прочее), обеспечивающим подтверждение факта получения Заявки Исполнителем.</w:t>
      </w:r>
    </w:p>
    <w:p>
      <w:pPr>
        <w:pStyle w:val="ListParagraph"/>
        <w:numPr>
          <w:ilvl w:val="2"/>
          <w:numId w:val="3"/>
        </w:numPr>
        <w:ind w:left="0" w:firstLine="709"/>
        <w:jc w:val="both"/>
        <w:rPr/>
      </w:pPr>
      <w:r>
        <w:rPr>
          <w:b w:val="false"/>
          <w:bCs w:val="false"/>
        </w:rPr>
        <w:t xml:space="preserve">До начала производства работ Исполнитель обязан разработать проект производства работ (ППР) на выполнение работ по мытью окон методом промышленного альпинизма. Проект производства работ должен быть разработан с соблюдением требований действующего законодательства и в обязательном порядке подлежит согласованию с Филиалом ПАО «РусГидро» - «Жигулевская ГЭС». </w:t>
      </w:r>
    </w:p>
    <w:p>
      <w:pPr>
        <w:pStyle w:val="ListParagraph"/>
        <w:numPr>
          <w:ilvl w:val="2"/>
          <w:numId w:val="3"/>
        </w:numPr>
        <w:ind w:left="0" w:firstLine="709"/>
        <w:jc w:val="both"/>
        <w:rPr/>
      </w:pPr>
      <w:r>
        <w:rPr>
          <w:b w:val="false"/>
          <w:bCs w:val="false"/>
        </w:rPr>
        <w:t>Исполнитель обязан обеспечить сотрудников средствами индивидуальной защиты, согласно установленных норм с учетом конкретных условий производства и сезона выполнения наружных работ. Предохранительные пояса, каски и другие средства индивидуальной защиты должны выдаваться стеклопротирщикам в соответствии с условиями выполнения ими работ.</w:t>
      </w:r>
    </w:p>
    <w:p>
      <w:pPr>
        <w:pStyle w:val="ListParagraph"/>
        <w:numPr>
          <w:ilvl w:val="2"/>
          <w:numId w:val="3"/>
        </w:numPr>
        <w:ind w:left="0" w:firstLine="709"/>
        <w:jc w:val="both"/>
        <w:rPr/>
      </w:pPr>
      <w:r>
        <w:rPr/>
        <w:t>Услуги оказываются в таком объёме, который позволяет продолжать эксплуатацию объекта без закупки Заказчиком дополнительных объёмов каких-либо материалов, оборудования и услуг. Услуги считаются оказанными после приёмки услуг с оформлением отчётной документации со стороны Исполнителя.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Исполнитель, по запросу Заказчика, представляет официальным письмом отчет в произвольной форме о текущем статусе и существующих рисках исполнения своих обязательств.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Персонал Исполнителя обеспечивает поддержание чистоты на рабочих местах, своевременную уборку отходов по окончании оказания услуг;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Исполнитель обеспечивает текущий контроль оказываемых услуг, включающий в себя надзор за правильностью и последовательностью выполнения отдельных технологических операций;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Подготовку рабочих мест и допуск на рабочие места выполняет персонал Заказчика;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Исполнитель обеспечивает подготовку рабочей площадки.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Исполнитель обеспечивает соблюдение правил охраны труда при оказании услуг, требований к квалификации персонала.</w:t>
      </w:r>
    </w:p>
    <w:p>
      <w:pPr>
        <w:pStyle w:val="Normal"/>
        <w:ind w:firstLine="709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b/>
          <w:lang w:eastAsia="x-none"/>
        </w:rPr>
      </w:pPr>
      <w:r>
        <w:rPr>
          <w:b/>
          <w:lang w:eastAsia="x-none"/>
        </w:rPr>
        <w:t>Особые условия оказания услуг:</w:t>
      </w:r>
    </w:p>
    <w:p>
      <w:pPr>
        <w:pStyle w:val="Normal"/>
        <w:numPr>
          <w:ilvl w:val="2"/>
          <w:numId w:val="3"/>
        </w:numPr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Работы выполняются высококвалифицированным персоналом с необходимыми профессиональными знаниями и опытом работы, а также допусками, аттестациями и регулярными повышением квалификации в соответствии с требованиями следующих документов:</w:t>
      </w:r>
    </w:p>
    <w:p>
      <w:pPr>
        <w:pStyle w:val="Normal"/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- </w:t>
      </w:r>
      <w:hyperlink r:id="rId3">
        <w:r>
          <w:rPr>
            <w:sz w:val="24"/>
            <w:szCs w:val="24"/>
            <w:lang w:eastAsia="x-none"/>
          </w:rPr>
          <w:t>Приказ</w:t>
        </w:r>
      </w:hyperlink>
      <w:r>
        <w:rPr>
          <w:sz w:val="24"/>
          <w:szCs w:val="24"/>
          <w:lang w:eastAsia="x-none"/>
        </w:rPr>
        <w:t xml:space="preserve">ом Минтруда России от 16.11.2020 N 782н «Об утверждении Правил по охране труда при работе на высоте» </w:t>
      </w:r>
    </w:p>
    <w:p>
      <w:pPr>
        <w:pStyle w:val="Normal"/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-Приказом Минтруда России от 15.12.2020 N 903н (ред. от 29.04.2022) «Об утверждении Правил по охране труда при эксплуатации электроустановок»</w:t>
      </w:r>
    </w:p>
    <w:p>
      <w:pPr>
        <w:pStyle w:val="Normal"/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- Приказом Минтруда России N 988н, Минздрава N 1420н от 31.12.2020. «Об утверждении перечня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при поступлении на работу и периодические медицинские осмотры».</w:t>
      </w:r>
    </w:p>
    <w:p>
      <w:pPr>
        <w:pStyle w:val="Normal"/>
        <w:numPr>
          <w:ilvl w:val="2"/>
          <w:numId w:val="3"/>
        </w:numPr>
        <w:ind w:firstLine="709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Конкретные требования к безопасному выполнению высотных работ на объекте должны определяться нарядом-допуском. СП РК 1.03-11-2010.</w:t>
      </w:r>
    </w:p>
    <w:p>
      <w:pPr>
        <w:pStyle w:val="Normal"/>
        <w:ind w:firstLine="709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bCs/>
          <w:lang w:eastAsia="x-none"/>
        </w:rPr>
      </w:pPr>
      <w:r>
        <w:rPr>
          <w:b/>
          <w:bCs/>
          <w:lang w:eastAsia="x-none"/>
        </w:rPr>
        <w:t>Обязанности Исполнителя:</w:t>
      </w:r>
      <w:r>
        <w:rPr>
          <w:bCs/>
          <w:lang w:eastAsia="x-none"/>
        </w:rPr>
        <w:t xml:space="preserve"> 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Эффективно и с надлежащим качеством оказать Услуги по мытью остекления в соответствии с правилами по безопасности и охране труда, установленными для такого рода работ.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Предоставить штат сотрудников, необходимый для оказания услуг, обладающий необходимой квалификацией для выполнения высотных работ.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Привлекать к оказанию услуг персонал, владеющим русским языком для ознакомления с инструктажами и иной информацией для допуска к работе на объектах филиала.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Не допускать к работе (отстраняются от работы) персонал в состоянии алкогольного, наркотического или токсического опьянения, а также не допускать перенос и нахождение на территории размещения объектов веществ, вызывающих алкогольное, наркотическое или токсическое опьянение.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В течение всего периода оказания услуг обеспечить присутствие на объекте представителя Исполнителя, ответственного за качество и технологию оказания услуг, а также за соблюдение правил техники безопасности и охраны труда в процессе оказания услуг на объекте.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 xml:space="preserve">Обеспечить всех сотрудников, привлекаемых к оказанию услуг на объекте Заказчика, полным (достаточным для оказания услуг с учетом специфики объекта и погодных условий) комплектом сертифицированной спецодежды, спецобуви при работе на высоте и другими необходимыми инструментами и оснасткой. 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Использовать для оказания услуг моющие составы, средства и способы очистки, соответствующие выполняемым работам и типам обрабатываемых поверхностей.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Самостоятельно обеспечивать транспортировку, погрузку-разгрузку и совершать иные действия, необходимые для доставки на объект оснащения и расходных материалов для обеспечения работы Исполнителя.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Следить за выполнением сотрудниками Исполнителя внутренних норм и правил, установленных на объекте для обеспечения безопасности и нормальной деятельности Заказчика, его сотрудников, а также сохранности и безопасности всех и любых объектов, расположенных на Объектах Заказчика.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 xml:space="preserve">Исполнитель предоставляет гарантии на результаты оказанных услуг в течении 5 рабочих дней после оказания услуги. 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lang w:eastAsia="x-none"/>
        </w:rPr>
      </w:pPr>
      <w:r>
        <w:rPr/>
        <w:t>Стеклопротирщик должен выполнять работу на высоте в соответствующей специальной одежде, в защитной строительной каске, с предохранительным поясом с капроновым стропом, в необходимых случаях - с применением верхолазного устройства с вертикальным страховочным канатом и др.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560" w:leader="none"/>
        </w:tabs>
        <w:ind w:left="0" w:hanging="0"/>
        <w:jc w:val="both"/>
        <w:rPr>
          <w:sz w:val="12"/>
          <w:szCs w:val="12"/>
          <w:lang w:eastAsia="x-none"/>
        </w:rPr>
      </w:pPr>
      <w:r>
        <w:rPr>
          <w:sz w:val="12"/>
          <w:szCs w:val="12"/>
          <w:lang w:eastAsia="x-none"/>
        </w:rPr>
      </w: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b/>
          <w:bCs/>
          <w:lang w:eastAsia="x-none"/>
        </w:rPr>
      </w:pPr>
      <w:r>
        <w:rPr>
          <w:b/>
          <w:bCs/>
          <w:lang w:eastAsia="x-none"/>
        </w:rPr>
        <w:t>Обязательства Заказчика: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Заказчик назначает представителя для оперативного рассмотрения и решения технических и организационных вопросов, связанных с оказанием услуг.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 xml:space="preserve">На период оказания услуг, Заказчиком безвозмездно предоставляются Исполнителю следующие ресурсы и механизмы: электроэнергия, вода. 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Ознакомление Исполнителя с локальными нормативными актами Объекта ведения работ, устанавливающими требования по охране труда, промышленной и пожарной безопасности, охране окружающей среды, правилами пропускного и внутриобъектового режима Объекта</w:t>
      </w:r>
      <w:r>
        <w:rPr/>
        <w:t xml:space="preserve"> </w:t>
      </w:r>
      <w:r>
        <w:rPr>
          <w:lang w:eastAsia="x-none"/>
        </w:rPr>
        <w:t>ведения работ.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560" w:leader="none"/>
        </w:tabs>
        <w:ind w:left="0" w:hanging="0"/>
        <w:jc w:val="both"/>
        <w:rPr>
          <w:sz w:val="12"/>
          <w:szCs w:val="12"/>
          <w:lang w:eastAsia="x-none"/>
        </w:rPr>
      </w:pPr>
      <w:r>
        <w:rPr>
          <w:sz w:val="12"/>
          <w:szCs w:val="12"/>
          <w:lang w:eastAsia="x-none"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b/>
          <w:bCs/>
          <w:lang w:eastAsia="x-none"/>
        </w:rPr>
      </w:pPr>
      <w:r>
        <w:rPr>
          <w:b/>
          <w:bCs/>
          <w:lang w:eastAsia="x-none"/>
        </w:rPr>
        <w:t>Требования к количественному составу и квалификации персонала</w:t>
      </w:r>
    </w:p>
    <w:p>
      <w:pPr>
        <w:pStyle w:val="ListParagraph"/>
        <w:widowControl/>
        <w:numPr>
          <w:ilvl w:val="2"/>
          <w:numId w:val="3"/>
        </w:numPr>
        <w:suppressAutoHyphens w:val="true"/>
        <w:bidi w:val="0"/>
        <w:spacing w:before="0" w:after="0"/>
        <w:ind w:left="0" w:right="0" w:firstLine="737"/>
        <w:contextualSpacing/>
        <w:jc w:val="both"/>
        <w:rPr>
          <w:b/>
          <w:bCs/>
          <w:lang w:eastAsia="x-none"/>
        </w:rPr>
      </w:pPr>
      <w:r>
        <w:rPr>
          <w:b w:val="false"/>
          <w:bCs w:val="false"/>
          <w:sz w:val="24"/>
          <w:szCs w:val="24"/>
          <w:lang w:eastAsia="x-none"/>
        </w:rPr>
        <w:t xml:space="preserve">Исполнитель для проведения работ обязуется направить на объект для проведения работ персонал в количественном составе, необходимом для выполнения работ в объеме, указанном в настоящих технических требованиях. До проведения работ Исполнитель назначает лиц, ответственных за выполнение работ, с правом  подписи в акте-допуске и правами выдачи нарядов- допусков на выполняемые  работы по предварительному согласованию с представителем Заказчика на объекте (руководитель работ, производитель работ). </w:t>
      </w:r>
    </w:p>
    <w:p>
      <w:pPr>
        <w:pStyle w:val="ListParagraph"/>
        <w:widowControl/>
        <w:numPr>
          <w:ilvl w:val="2"/>
          <w:numId w:val="3"/>
        </w:numPr>
        <w:suppressAutoHyphens w:val="true"/>
        <w:bidi w:val="0"/>
        <w:spacing w:before="0" w:after="0"/>
        <w:ind w:left="0" w:right="0" w:firstLine="737"/>
        <w:contextualSpacing/>
        <w:jc w:val="both"/>
        <w:rPr>
          <w:b/>
          <w:bCs/>
          <w:lang w:eastAsia="x-none"/>
        </w:rPr>
      </w:pPr>
      <w:r>
        <w:rPr>
          <w:b w:val="false"/>
          <w:bCs w:val="false"/>
          <w:sz w:val="24"/>
          <w:szCs w:val="24"/>
          <w:lang w:eastAsia="x-none"/>
        </w:rPr>
        <w:t>Исполнитель допускается на объект, в соответствии с нормативно-правовыми актами по охране труда, Методике допуска персонала подрядных организаций к выполнению работ на объектах Общества, утвержденную приказом ПАО «РусГидро» от 04.02.2022 № 82 «Об утверждении Регламента процесса «Допуск персонала подрядных организаций на объекты ПАО «РусГидро», Инструкции о пропускном и внитриобъектовом режимах филиала ПАО «Русгидро».</w:t>
      </w:r>
    </w:p>
    <w:p>
      <w:pPr>
        <w:pStyle w:val="ListParagraph"/>
        <w:widowControl/>
        <w:numPr>
          <w:ilvl w:val="2"/>
          <w:numId w:val="3"/>
        </w:numPr>
        <w:suppressAutoHyphens w:val="true"/>
        <w:bidi w:val="0"/>
        <w:spacing w:before="0" w:after="0"/>
        <w:ind w:left="0" w:right="0" w:firstLine="737"/>
        <w:contextualSpacing/>
        <w:jc w:val="both"/>
        <w:rPr>
          <w:b/>
          <w:bCs/>
          <w:lang w:eastAsia="x-none"/>
        </w:rPr>
      </w:pPr>
      <w:r>
        <w:rPr>
          <w:b w:val="false"/>
          <w:bCs w:val="false"/>
          <w:sz w:val="24"/>
          <w:szCs w:val="24"/>
          <w:lang w:eastAsia="x-none"/>
        </w:rPr>
        <w:t>Работы /услуги на объектах выполняются в соответствии со следующими требованиями: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 xml:space="preserve">- СТО РусГидро 02.01.80-2012 «Гидротехнические сооружения ГЭС и ГАЭС. Правила эксплуатации. Нормы и требования», 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 xml:space="preserve">- СТО РусГидро 05.02.126-2020 «Правила организации безопасного обслуживания, гидротехнических сооружений, гидросилового и гидромеханического оборудования гидроэлектростанций»,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- СТО РусГидро 02.01.62 – 2012 ГИДРОЭЛЕКТРОСТАНЦИИ.РЕМОНТ И ТЕХНИЧЕСКОЕ ОБСЛУЖИВАНИЕ ОБОРУДОВАНИЯ, ЗДАНИЙ И СООРУЖЕНИЙ.ОРГАНИЗАЦИЯ ПРОИЗВОДСТВЕННЫХ ПРОЦЕССОВ. НОРМЫ И ТРЕБОВАНИЯ,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 xml:space="preserve">- Приказа от 15 декабря 2020 г. N 903н «Об утверждении правил по охране труда при эксплуатации электроустановок»,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/>
      </w:pPr>
      <w:r>
        <w:rPr>
          <w:b w:val="false"/>
          <w:bCs w:val="false"/>
          <w:sz w:val="24"/>
          <w:szCs w:val="24"/>
          <w:lang w:eastAsia="x-none"/>
        </w:rPr>
        <w:t xml:space="preserve"> </w:t>
      </w:r>
      <w:r>
        <w:rPr>
          <w:b w:val="false"/>
          <w:bCs w:val="false"/>
          <w:sz w:val="24"/>
          <w:szCs w:val="24"/>
          <w:lang w:eastAsia="x-none"/>
        </w:rPr>
        <w:t>- Национального стандарта РФ ГОСТ Р 55260.1.7-2013,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/>
      </w:pPr>
      <w:r>
        <w:rPr>
          <w:b w:val="false"/>
          <w:bCs w:val="false"/>
          <w:sz w:val="24"/>
          <w:szCs w:val="24"/>
          <w:lang w:eastAsia="x-none"/>
        </w:rPr>
        <w:t xml:space="preserve">- Приказа Минтруда России от 27.11.2020 N 835н "Об утверждении Правил по охране труда при работе с инструментом и приспособлениями" (Зарегистрировано в Минюсте России 11.12.2020 N 61411),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/>
      </w:pPr>
      <w:r>
        <w:rPr>
          <w:b w:val="false"/>
          <w:bCs w:val="false"/>
          <w:sz w:val="24"/>
          <w:szCs w:val="24"/>
          <w:lang w:eastAsia="x-none"/>
        </w:rPr>
        <w:t>- Федерального закона от 22.07.2008 № 123-ФЗ «Технический регламент о требованиях пожарной безопасности»,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- Федерального закона от 24.06.1998 № 89-ФЗ «Об отходах производства и потребления»,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- Приказом Минтруда России от 16.11.2020 N 782н. «Об утверждении Правил по охране труда при работе на высоте».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 xml:space="preserve">- Федерального закона от 10.01.2002 № 7-ФЗ «Об охране окружающей среды», Федерального закона от 30.03.1999 №52-ФЗ «О санитарно-эпидемиологическом благополучии населения»,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/>
      </w:pPr>
      <w:r>
        <w:rPr>
          <w:b w:val="false"/>
          <w:bCs w:val="false"/>
          <w:sz w:val="24"/>
          <w:szCs w:val="24"/>
          <w:lang w:eastAsia="x-none"/>
        </w:rPr>
        <w:t xml:space="preserve"> </w:t>
      </w:r>
      <w:r>
        <w:rPr>
          <w:b w:val="false"/>
          <w:bCs w:val="false"/>
          <w:sz w:val="24"/>
          <w:szCs w:val="24"/>
          <w:lang w:eastAsia="x-none"/>
        </w:rPr>
        <w:t>- Приказа Минтруда России от 29 октября 2021 года № 772н «Об утверждении основных требований к порядку разработки и содержанию правил и инструкций по охране труда»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- Приказом Минтруда России N 988н, Минздрава N 1420н от 31.12.2020. «Об утверждении перечня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при поступлении на работу и периодические медицинские осмотры».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Исполнитель до начала работ согласовывает с представителем Заказчика на объектах, необходимые для выполнения работ, организационно-технологические документы.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Документы, подтверждающие квалификацию персонала, прохождение обучения, необходимого для оказания услуг, Исполнитель предоставляет после заключения договора до начала предоставления/оказания услуг представителю Заказчика на объекте.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Квалификация специалистов и персонала должна соответствовать требованиям, установленным руководствами (инструкциями) по эксплуатации подъемников (вышек), а также требованиям, установленным Единым тарифно-квалификационным справочником (ЕТКС), действующим на территории РФ.</w:t>
      </w:r>
    </w:p>
    <w:p>
      <w:pPr>
        <w:pStyle w:val="ListParagraph"/>
        <w:tabs>
          <w:tab w:val="clear" w:pos="708"/>
          <w:tab w:val="left" w:pos="1560" w:leader="none"/>
        </w:tabs>
        <w:ind w:left="0" w:firstLine="709"/>
        <w:jc w:val="both"/>
        <w:rPr>
          <w:sz w:val="12"/>
          <w:szCs w:val="12"/>
          <w:lang w:eastAsia="x-none"/>
        </w:rPr>
      </w:pPr>
      <w:r>
        <w:rPr>
          <w:sz w:val="12"/>
          <w:szCs w:val="12"/>
          <w:lang w:eastAsia="x-none"/>
        </w:rPr>
      </w:r>
    </w:p>
    <w:p>
      <w:pPr>
        <w:pStyle w:val="Normal"/>
        <w:widowControl/>
        <w:numPr>
          <w:ilvl w:val="1"/>
          <w:numId w:val="3"/>
        </w:numPr>
        <w:suppressAutoHyphens w:val="true"/>
        <w:bidi w:val="0"/>
        <w:spacing w:before="0" w:after="0"/>
        <w:ind w:left="0" w:right="0" w:firstLine="737"/>
        <w:jc w:val="both"/>
        <w:rPr>
          <w:b/>
          <w:bCs/>
          <w:sz w:val="24"/>
          <w:szCs w:val="24"/>
          <w:lang w:eastAsia="x-none"/>
        </w:rPr>
      </w:pPr>
      <w:r>
        <w:rPr>
          <w:b/>
          <w:bCs/>
          <w:sz w:val="24"/>
          <w:szCs w:val="24"/>
          <w:lang w:eastAsia="x-none"/>
        </w:rPr>
        <w:t>Требования к материально- техническому оснащению</w:t>
      </w:r>
    </w:p>
    <w:p>
      <w:pPr>
        <w:pStyle w:val="ListParagraph"/>
        <w:numPr>
          <w:ilvl w:val="0"/>
          <w:numId w:val="11"/>
        </w:numPr>
        <w:ind w:left="1066" w:hanging="357"/>
        <w:jc w:val="both"/>
        <w:rPr/>
      </w:pPr>
      <w:r>
        <w:rPr/>
        <w:t>Моющее средство для стекла;</w:t>
      </w:r>
    </w:p>
    <w:p>
      <w:pPr>
        <w:pStyle w:val="ListParagraph"/>
        <w:numPr>
          <w:ilvl w:val="0"/>
          <w:numId w:val="11"/>
        </w:numPr>
        <w:ind w:left="1066" w:hanging="357"/>
        <w:jc w:val="both"/>
        <w:rPr/>
      </w:pPr>
      <w:r>
        <w:rPr/>
        <w:t>Средство для мытья поверхностей.</w:t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12"/>
          <w:szCs w:val="12"/>
          <w:lang w:eastAsia="x-none"/>
        </w:rPr>
      </w:pPr>
      <w:r>
        <w:rPr>
          <w:b/>
          <w:bCs/>
          <w:sz w:val="12"/>
          <w:szCs w:val="12"/>
          <w:lang w:eastAsia="x-none"/>
        </w:rPr>
      </w:r>
    </w:p>
    <w:p>
      <w:pPr>
        <w:pStyle w:val="ListParagraph"/>
        <w:numPr>
          <w:ilvl w:val="0"/>
          <w:numId w:val="3"/>
        </w:numPr>
        <w:ind w:left="0" w:hanging="0"/>
        <w:jc w:val="center"/>
        <w:rPr>
          <w:b/>
          <w:iCs/>
          <w:caps/>
          <w:sz w:val="28"/>
          <w:szCs w:val="28"/>
        </w:rPr>
      </w:pPr>
      <w:bookmarkStart w:id="10" w:name="_Toc51339693"/>
      <w:bookmarkStart w:id="11" w:name="_Toc128734747"/>
      <w:bookmarkStart w:id="12" w:name="_Toc50125126"/>
      <w:bookmarkEnd w:id="12"/>
      <w:r>
        <w:rPr>
          <w:b/>
          <w:bCs/>
          <w:sz w:val="28"/>
          <w:szCs w:val="28"/>
        </w:rPr>
        <w:t>Требования</w:t>
      </w:r>
      <w:r>
        <w:rPr>
          <w:b/>
          <w:iCs/>
          <w:sz w:val="28"/>
          <w:szCs w:val="28"/>
        </w:rPr>
        <w:t xml:space="preserve"> к продукции</w:t>
      </w:r>
      <w:bookmarkEnd w:id="10"/>
      <w:bookmarkEnd w:id="11"/>
    </w:p>
    <w:p>
      <w:pPr>
        <w:pStyle w:val="ListParagraph"/>
        <w:numPr>
          <w:ilvl w:val="1"/>
          <w:numId w:val="3"/>
        </w:numPr>
        <w:spacing w:lineRule="auto" w:line="276"/>
        <w:ind w:left="0" w:firstLine="709"/>
        <w:jc w:val="both"/>
        <w:rPr/>
      </w:pPr>
      <w:bookmarkStart w:id="13" w:name="_Toc128734748"/>
      <w:r>
        <w:rPr>
          <w:b/>
        </w:rPr>
        <w:t>Требования к объемам и срокам оказания услуг</w:t>
      </w:r>
      <w:bookmarkEnd w:id="13"/>
    </w:p>
    <w:p>
      <w:pPr>
        <w:pStyle w:val="ListParagraph"/>
        <w:numPr>
          <w:ilvl w:val="2"/>
          <w:numId w:val="3"/>
        </w:numPr>
        <w:spacing w:lineRule="auto" w:line="276"/>
        <w:jc w:val="both"/>
        <w:rPr/>
      </w:pPr>
      <w:bookmarkStart w:id="14" w:name="_Toc128734749"/>
      <w:r>
        <w:rPr>
          <w:b/>
        </w:rPr>
        <w:t>Требования к перечню и объему услуг</w:t>
      </w:r>
      <w:bookmarkEnd w:id="14"/>
    </w:p>
    <w:p>
      <w:pPr>
        <w:pStyle w:val="Normal"/>
        <w:tabs>
          <w:tab w:val="clear" w:pos="708"/>
          <w:tab w:val="left" w:pos="1560" w:leader="none"/>
        </w:tabs>
        <w:spacing w:lineRule="auto" w:line="276"/>
        <w:jc w:val="both"/>
        <w:rPr/>
      </w:pPr>
      <w:bookmarkStart w:id="15" w:name="_Toc128734750"/>
      <w:bookmarkStart w:id="16" w:name="_Toc51339695"/>
      <w:r>
        <w:rPr>
          <w:b/>
          <w:sz w:val="24"/>
          <w:szCs w:val="24"/>
        </w:rPr>
        <w:t xml:space="preserve">Таблица 2. Перечень </w:t>
      </w:r>
      <w:bookmarkEnd w:id="16"/>
      <w:r>
        <w:rPr>
          <w:b/>
          <w:sz w:val="24"/>
          <w:szCs w:val="24"/>
        </w:rPr>
        <w:t>и объем оказываемых услуг</w:t>
      </w:r>
      <w:bookmarkEnd w:id="15"/>
    </w:p>
    <w:tbl>
      <w:tblPr>
        <w:tblW w:w="9915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56"/>
        <w:gridCol w:w="3681"/>
        <w:gridCol w:w="2173"/>
        <w:gridCol w:w="1682"/>
        <w:gridCol w:w="1723"/>
      </w:tblGrid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услуг / этапа услуг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Количество*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Периодичность</w:t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iCs/>
                <w:color w:val="000000"/>
                <w:sz w:val="20"/>
                <w:szCs w:val="20"/>
              </w:rPr>
              <w:t>ОКПД2 81.22.11.000 Оказание услуг по мытью светопрозрачных конструкций зданий методом промышленного альпинизма на объектах филиала ПАО «РусГидро» - «Жигулевская ГЭС»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iCs/>
                <w:sz w:val="20"/>
                <w:szCs w:val="20"/>
              </w:rPr>
              <w:t>м</w:t>
            </w:r>
            <w:r>
              <w:rPr>
                <w:i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12 346,00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Единоразово по заявке Заказчика</w:t>
            </w:r>
          </w:p>
        </w:tc>
      </w:tr>
    </w:tbl>
    <w:p>
      <w:pPr>
        <w:pStyle w:val="Normal"/>
        <w:jc w:val="both"/>
        <w:rPr>
          <w:b/>
          <w:bCs/>
          <w:color w:val="FF3838"/>
        </w:rPr>
      </w:pPr>
      <w:r>
        <w:rPr>
          <w:b/>
          <w:bCs/>
          <w:i/>
          <w:iCs/>
          <w:color w:val="FF3838"/>
          <w:sz w:val="20"/>
          <w:szCs w:val="20"/>
          <w:lang w:eastAsia="x-none"/>
        </w:rPr>
        <w:t>*Информация об объеме услуг имеет информационно-справочный характер и приведена исходя из планируемого к приобретению Заказчиком объема услуг. Указание количества не налагает на Заказчика обязательств по приобретению услуг в полном объёме, указанном в настоящих Технических требованиях</w:t>
      </w:r>
    </w:p>
    <w:p>
      <w:pPr>
        <w:pStyle w:val="Normal"/>
        <w:jc w:val="both"/>
        <w:rPr>
          <w:iCs/>
          <w:sz w:val="20"/>
          <w:szCs w:val="20"/>
          <w:lang w:eastAsia="x-none"/>
        </w:rPr>
      </w:pPr>
      <w:r>
        <w:rPr>
          <w:iCs/>
          <w:sz w:val="20"/>
          <w:szCs w:val="20"/>
          <w:lang w:eastAsia="x-none"/>
        </w:rPr>
      </w:r>
    </w:p>
    <w:p>
      <w:pPr>
        <w:pStyle w:val="Normal"/>
        <w:jc w:val="both"/>
        <w:rPr>
          <w:iCs/>
          <w:sz w:val="20"/>
          <w:szCs w:val="20"/>
          <w:lang w:eastAsia="x-none"/>
        </w:rPr>
      </w:pPr>
      <w:r>
        <w:rPr>
          <w:iCs/>
          <w:sz w:val="20"/>
          <w:szCs w:val="20"/>
          <w:lang w:eastAsia="x-none"/>
        </w:rPr>
      </w:r>
    </w:p>
    <w:p>
      <w:pPr>
        <w:pStyle w:val="ListParagraph"/>
        <w:numPr>
          <w:ilvl w:val="2"/>
          <w:numId w:val="3"/>
        </w:numPr>
        <w:jc w:val="both"/>
        <w:rPr>
          <w:b/>
        </w:rPr>
      </w:pPr>
      <w:bookmarkStart w:id="17" w:name="_Toc128734751"/>
      <w:bookmarkStart w:id="18" w:name="_Toc51339696"/>
      <w:r>
        <w:rPr>
          <w:b/>
        </w:rPr>
        <w:t xml:space="preserve">Требования </w:t>
      </w:r>
      <w:bookmarkEnd w:id="18"/>
      <w:r>
        <w:rPr>
          <w:b/>
        </w:rPr>
        <w:t>к срокам оказания услуг</w:t>
      </w:r>
      <w:bookmarkEnd w:id="17"/>
    </w:p>
    <w:p>
      <w:pPr>
        <w:pStyle w:val="Normal"/>
        <w:tabs>
          <w:tab w:val="clear" w:pos="708"/>
          <w:tab w:val="left" w:pos="1560" w:leader="none"/>
        </w:tabs>
        <w:jc w:val="both"/>
        <w:rPr>
          <w:b/>
          <w:sz w:val="24"/>
          <w:szCs w:val="24"/>
        </w:rPr>
      </w:pPr>
      <w:bookmarkStart w:id="19" w:name="_Toc128734752"/>
      <w:bookmarkStart w:id="20" w:name="_Toc51339697"/>
      <w:bookmarkStart w:id="21" w:name="_Toc50125127"/>
      <w:bookmarkStart w:id="22" w:name="_Toc50125126_Копия_1"/>
      <w:bookmarkEnd w:id="22"/>
      <w:r>
        <w:rPr>
          <w:b/>
          <w:sz w:val="24"/>
          <w:szCs w:val="24"/>
        </w:rPr>
        <w:t xml:space="preserve">Таблица 3. </w:t>
      </w:r>
      <w:bookmarkStart w:id="23" w:name="_Hlk50465284"/>
      <w:r>
        <w:rPr>
          <w:b/>
          <w:sz w:val="24"/>
          <w:szCs w:val="24"/>
        </w:rPr>
        <w:t xml:space="preserve">Требования к срокам </w:t>
      </w:r>
      <w:bookmarkEnd w:id="20"/>
      <w:bookmarkEnd w:id="21"/>
      <w:bookmarkEnd w:id="23"/>
      <w:r>
        <w:rPr>
          <w:b/>
          <w:sz w:val="24"/>
          <w:szCs w:val="24"/>
        </w:rPr>
        <w:t>оказания услуг</w:t>
      </w:r>
      <w:bookmarkEnd w:id="19"/>
    </w:p>
    <w:tbl>
      <w:tblPr>
        <w:tblW w:w="997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2"/>
        <w:gridCol w:w="4396"/>
        <w:gridCol w:w="2338"/>
        <w:gridCol w:w="2538"/>
      </w:tblGrid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услуг/ этапа услуг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началу срока оказания услуг/ этапа услуг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окончанию срока оказания услуг / этапа услуг</w:t>
            </w:r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bookmarkStart w:id="24" w:name="_Toc46743510"/>
            <w:r>
              <w:rPr>
                <w:b/>
                <w:sz w:val="20"/>
                <w:szCs w:val="20"/>
              </w:rPr>
              <w:t>4</w:t>
            </w:r>
            <w:bookmarkEnd w:id="24"/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ОКПД2 81.22.11.000 Оказание услуг по мытью светопрозрачных конструкций зданий методом промышленного альпинизма на объектах филиала ПАО «РусГидро» - «Жигулевская ГЭС»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31.10.2026</w:t>
            </w:r>
          </w:p>
        </w:tc>
      </w:tr>
    </w:tbl>
    <w:p>
      <w:pPr>
        <w:sectPr>
          <w:headerReference w:type="even" r:id="rId4"/>
          <w:headerReference w:type="default" r:id="rId5"/>
          <w:headerReference w:type="first" r:id="rId6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b/>
        </w:rPr>
      </w:pPr>
      <w:bookmarkStart w:id="25" w:name="_Toc128734753"/>
      <w:bookmarkStart w:id="26" w:name="_Toc46743511"/>
      <w:r>
        <w:rPr>
          <w:b/>
        </w:rPr>
        <w:t xml:space="preserve">Требования к </w:t>
      </w:r>
      <w:bookmarkEnd w:id="26"/>
      <w:r>
        <w:rPr>
          <w:b/>
        </w:rPr>
        <w:t>качеству услуг</w:t>
      </w:r>
      <w:bookmarkEnd w:id="25"/>
    </w:p>
    <w:p>
      <w:pPr>
        <w:pStyle w:val="Normal"/>
        <w:tabs>
          <w:tab w:val="clear" w:pos="708"/>
          <w:tab w:val="left" w:pos="1560" w:leader="none"/>
        </w:tabs>
        <w:jc w:val="both"/>
        <w:rPr>
          <w:b/>
          <w:sz w:val="24"/>
          <w:szCs w:val="24"/>
        </w:rPr>
      </w:pPr>
      <w:bookmarkStart w:id="27" w:name="_Toc128734754"/>
      <w:bookmarkStart w:id="28" w:name="_Toc51339698"/>
      <w:r>
        <w:rPr>
          <w:b/>
          <w:sz w:val="24"/>
          <w:szCs w:val="24"/>
        </w:rPr>
        <w:t xml:space="preserve">Таблица 4. Требования к </w:t>
      </w:r>
      <w:bookmarkEnd w:id="28"/>
      <w:r>
        <w:rPr>
          <w:b/>
          <w:sz w:val="24"/>
          <w:szCs w:val="24"/>
        </w:rPr>
        <w:t>качеству услуг</w:t>
      </w:r>
      <w:bookmarkEnd w:id="27"/>
    </w:p>
    <w:p>
      <w:pPr>
        <w:pStyle w:val="Normal"/>
        <w:tabs>
          <w:tab w:val="clear" w:pos="708"/>
          <w:tab w:val="left" w:pos="1560" w:leader="none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услуг\этапа услуг: </w:t>
      </w:r>
      <w:r>
        <w:rPr>
          <w:b w:val="false"/>
          <w:bCs w:val="false"/>
          <w:sz w:val="24"/>
          <w:szCs w:val="24"/>
        </w:rPr>
        <w:t>ОКПД2 81.22.11.000 Оказание услуг по мытью светопрозрачных конструкций зданий методом промышленного альпинизма на объектах филиала ПАО «РусГидро» - «Жигулевская ГЭС».</w:t>
      </w:r>
    </w:p>
    <w:tbl>
      <w:tblPr>
        <w:tblStyle w:val="af"/>
        <w:tblW w:w="1488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18"/>
        <w:gridCol w:w="2897"/>
        <w:gridCol w:w="3231"/>
        <w:gridCol w:w="2540"/>
        <w:gridCol w:w="2783"/>
        <w:gridCol w:w="2615"/>
      </w:tblGrid>
      <w:tr>
        <w:trPr>
          <w:trHeight w:val="20" w:hRule="atLeast"/>
        </w:trPr>
        <w:tc>
          <w:tcPr>
            <w:tcW w:w="81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/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289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23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Требование заказчика</w:t>
            </w:r>
          </w:p>
        </w:tc>
        <w:tc>
          <w:tcPr>
            <w:tcW w:w="53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61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>
          <w:trHeight w:val="20" w:hRule="atLeast"/>
        </w:trPr>
        <w:tc>
          <w:tcPr>
            <w:tcW w:w="81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89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23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5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7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61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/>
            </w:pPr>
            <w:bookmarkStart w:id="29" w:name="_Toc53499667"/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  <w:bookmarkEnd w:id="29"/>
          </w:p>
        </w:tc>
        <w:tc>
          <w:tcPr>
            <w:tcW w:w="289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32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7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6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Общие требования к оказанию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9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Общие технические условия для оказания услуг</w:t>
            </w:r>
          </w:p>
        </w:tc>
        <w:tc>
          <w:tcPr>
            <w:tcW w:w="323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Осуществляются в соответствии с ГОСТ Р51870-2014 «Услуги профессиональной уборки – клининговые услуги» (дата введения 01.07.2015)</w:t>
            </w:r>
          </w:p>
        </w:tc>
        <w:tc>
          <w:tcPr>
            <w:tcW w:w="254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  <w:shd w:color="auto" w:fill="auto" w:val="clear"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9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Подготовка рабочих мест и допуск на рабочие места выполняет персонал Заказчика</w:t>
            </w:r>
          </w:p>
        </w:tc>
        <w:tc>
          <w:tcPr>
            <w:tcW w:w="323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соответствии с СТО РусГидро 05.02.126-2020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 (Приложение №2 к настоящим ТТ)</w:t>
            </w:r>
          </w:p>
        </w:tc>
        <w:tc>
          <w:tcPr>
            <w:tcW w:w="254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1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/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1.1.3</w:t>
            </w:r>
          </w:p>
        </w:tc>
        <w:tc>
          <w:tcPr>
            <w:tcW w:w="289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обеспечивает соблюдение техники безопасности при оказании услуг, требований к квалификации персонала.</w:t>
            </w:r>
          </w:p>
        </w:tc>
        <w:tc>
          <w:tcPr>
            <w:tcW w:w="323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соответствии со статьёй 214 Трудового Кодекса РФ, ЕТКС работ и рабочих профессий</w:t>
            </w:r>
          </w:p>
        </w:tc>
        <w:tc>
          <w:tcPr>
            <w:tcW w:w="254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1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97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Организационно-технические мероприятия по пропуску персонала исполнителя на территорию Филиала</w:t>
            </w:r>
          </w:p>
        </w:tc>
        <w:tc>
          <w:tcPr>
            <w:tcW w:w="323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Осуществляется в соответствии с Инструкцией о пропускном и внутриобъектовом режимах филиала ПАО «РусГидро» - «Жигулевская ГЭС». (Приложение №3 к настоящим ТТ)</w:t>
            </w:r>
          </w:p>
        </w:tc>
        <w:tc>
          <w:tcPr>
            <w:tcW w:w="2540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1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способам оказания услуг</w:t>
            </w:r>
          </w:p>
        </w:tc>
        <w:tc>
          <w:tcPr>
            <w:tcW w:w="2540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9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Требование к способам оказания услуг</w:t>
            </w:r>
          </w:p>
        </w:tc>
        <w:tc>
          <w:tcPr>
            <w:tcW w:w="323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должен руководствоваться Приказом Минтруда России от 16.11.2020 N 782н «Об утверждении Правил по охране труда при работе на высоте»</w:t>
            </w:r>
          </w:p>
        </w:tc>
        <w:tc>
          <w:tcPr>
            <w:tcW w:w="2540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615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процедурам оказания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9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Организационно-технические мероприятия по допуску персонала исполнителя</w:t>
            </w:r>
          </w:p>
        </w:tc>
        <w:tc>
          <w:tcPr>
            <w:tcW w:w="3231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Осуществляется в соответствии с регламентом «О допуске персонала подрядных организаций на объектах ПАО «РусГидро» (утв. приказом ПАО «РусГидро» № 82 от 04.02.2022 г.) (Приложение № 1 к настоящим ТТ).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Исполнитель, не позднее 20 дней до начала оказания услуг, производит предварительный осмотр объектов воздействия и уточняет с Заказчиком объем и состав услуг.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2. Персонал Исполнителя обеспечивает поддержание чистоты на рабочих местах, своевременную уборку и вывоз отходов по окончании оказания услуг.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3. Исполнитель обеспечивает текущий контроль оказываемых услуг, включающий в себя надзор за правильностью и последовательностью выполнения отдельных технологических операций;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4. Исполнитель, по запросу Заказчика, представляет официальным письмом отчет в произвольной форме о текущем статусе и существующих рисках исполнения своих обязательств;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5. Отходы, образующиеся в результате деятельности Исполнителя, в том числе отходы, образующиеся в процессе административно-хозяйственной деятельности персонала Исполнителя на территории Филиала, являются собственностью Исполнителя. Деятельность по обращению с такими отходами, а также связанная с этим ответственность, является обязанностью Исполнителя.</w:t>
            </w:r>
          </w:p>
        </w:tc>
        <w:tc>
          <w:tcPr>
            <w:tcW w:w="25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>
              <w:top w:val="nil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sz w:val="20"/>
                <w:szCs w:val="20"/>
              </w:rPr>
              <w:t>1. Исполнитель своими силами и за свой счёт обеспечивает: закупку, приемку, транспортировку, разгрузку и складирование прибывающих на объект материалов, оборудования и химических средств и несет ответственность за сохранность всех материалов;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2. Исполнитель производит закупку необходимых для оказания услуги материалов, технологического оборудования и химических средств за месяц до начала оказания услуг по договору;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3. Все закупаемые и применяемые материалы, оборудование и химические средства должны быть новыми и не использованными ранее. Изменения в номенклатуре, марках, поставляемых материалов, оборудования и химических средств допускается при условии письменного согласования с Заказчиком.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4. Материалы, технологическое оборудование и химические средства, необходимые для оказания услуг, закупаются Исполнителем.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5. Исполнитель обеспечивает входной контроль поступающих материалов, оборудования и химических средств. Входной контроль поступающих материалов, оборудования и химических средств включает в себя проверку: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а) наличия соответствующих сертификатов;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б) наличия и надлежащего заполнения документа о качестве и соответствии приведенных в нем данных -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в) 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г) правильности складирования и хранения;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д) комплектности поставляемых материалов;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6. При подписании актов оказанных услуг Исполнитель предоставляет копии паспортов, гигиенических сертификатов и сертификатов качества на закупленные материалы, оборудование, химические средства и т.д. на бумажном носителе (1 экземпляр).</w:t>
            </w:r>
          </w:p>
        </w:tc>
        <w:tc>
          <w:tcPr>
            <w:tcW w:w="25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615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hanging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соблюдению природоохранного законодательства: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При проведении работ Исполнитель должен: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-Назначить ответственных лиц за соблюдение требований природоохранного законодательства при выполнении работ на территории Заказчика;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Производить сортировку отходов по видам в промаркированные контейнеры и емкости.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Накапливать отходы производства от проведения работ в местах, определенных Заказчиком, в промаркированные контейнеры.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Выполнять требования природоохранного законодательства в сфере обращения с отходами, соблюдать принцип раздельного складирования отходов в контейнеры по видам отходов.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Не допускать складирование и временное накопление отходов на непредназначенной для этих целей территории.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Соблюдать режим использования водоохранных зон и прибрежных защитных полос, в соответствие со ст. 65 Водного кодекса РФ от 03.06.2006г. № 74-ФЗ;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Соблюдать экологические требования в области обращения с отходами, отраженные в ст.51 ФЗ № 7 «Об охране окружающей среды», ст. 17, 18 ФЗ № 96 «Об охране атмосферного воздуха»;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Соблюдать санитарные требования при обращении с отходами, установленные в ст. 22 ФЗ № 52-ФЗ от 30.03.1999г. «О санитарно-эпидемиологическом благополучии населения» и СанПин 2.1.3684-21;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Соблюдать Экологическую политику ПАО «РусГидро».</w:t>
            </w:r>
          </w:p>
        </w:tc>
        <w:tc>
          <w:tcPr>
            <w:tcW w:w="25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15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должен иметь собственный или привлеченный (по трудовым договорам) квалифицированный персонал.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hanging="0"/>
              <w:contextualSpacing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 заключения договора Исполнитель представляет список персонала, копии квалификационных и аттестационных документов и иные документы.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должны подтвердить соответствие квалификации персонала, участвующего в выполнении работ на территории Заказчика: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Представить до заключения договора копию приказа о предоставлении задействованному персоналу прав для выполнения работ по нарядам в качестве: выдающего наряд-допуск, ответственного руководителя работ, производителя работ и членов бригады, ответственных за безопасное производство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Работы должны выполняться квалифицированным аттестованным персоналом, имеющим право самостоятельной работы в действующих электроустановках, согласно Правилам по охране труда при эксплуатации электроустановок, правил технической эксплуатации электрических станций и сетей, правил устройства электроустановок.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/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При оказании услуг с привлечением промышленных альпинистов обязательное условие - наличие удостоверения промышленного альпиниста, группа по безопасности работ на высоте. Личная книжка учета работ на высоте в соответствии с Приложением № 4 Приказа Минтруда России от 16.11.2020 N 782н «Об утверждении Правил по охране труда при работе на высоте». Группа по электробезопасности не ниже II.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rFonts w:eastAsia="Calibri"/>
                <w:b w:val="false"/>
                <w:bCs w:val="false"/>
                <w:lang w:val="ru-RU" w:eastAsia="x-none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>Представить до заключения договора: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rFonts w:eastAsia="Calibri"/>
                <w:b w:val="false"/>
                <w:bCs w:val="false"/>
                <w:lang w:val="ru-RU" w:eastAsia="x-none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>До заключения договора представить справки/выписки из трудовых договоров всех исполнителей работ.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результатам у</w:t>
            </w: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Общие требования к результатам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Отсутствие скопления грязи и пыли на стекле и рамах, потеков, пятен, отпечатков пальцев, разводов грязи, высохших брызг и капель чистящего вещества, ореолов, разводов вокруг очищенных участков, мутности, остатков ворса протирочного материала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безопасности использования результата оказания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right="0" w:hanging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При оказании услуг Исполнитель должен обеспечить безопасность собственного персонала, жизни, здоровья потребителей услуг и сохранность их имущества, а также соблюдать санитарно-эпидемиологические нормы.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right="0" w:hanging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Химические средства (очищающие, чистящие, моющие, дезинфицирующие и т.п.), используемые при оказании услуг, должны иметь паспорт безопасности, оформленный в установленном в РФ порядке. Химические средства и материалы, входящие в перечень товаров, подлежащих обязательному подтверждению соответствия, должны иметь сертификат соответствия или декларацию о соответствии, а подлежащие государственной регистрации - свидетельства о регистрации.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приемке результата оказания у</w:t>
            </w: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before="0" w:after="0"/>
              <w:ind w:left="0" w:right="0" w:firstLine="283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оформляет отчетную и исполнительную документацию в соответствии с требованиями раздела 9 ГОСТ Р 51870-2014 «Услуги профессиональной уборки – клининговые услуги. Общие технические условия»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 окончании оказания Услуг Исполнитель в течение 3 (трех) рабочих дней предоставляет Заказчику подписанный со своей стороны в 2 (двух) экземплярах УПД.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представляет Заказчику с отчетными документами исполнительную документацию (журналы ведения работ, сертификаты качества на применённые материалы и химические средства).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«Правила по охране труда при работе с инструментом и приспособлениями» (утв. приказом Минтруда России от 27.11.2020 N 835н)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«Правила противопожарного режима в Российской Федерации» (утверждены Постановлением Правительства РФ от 16.09.2020 N 1479)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«Правила по охране труда при работе на высоте» (утверждены приказом Минтруда РФ от 16.11.2020 №782н)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-"Правила безопасности опасных производственных объектов, на которых используются подъемные сооружения" (утверждены приказом Ростехнадзора от 26.11.2020 №461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«Правила по охране труда при эксплуатации электроустановок» (утверждены приказом Минтруда РФ от 15.12.2020 №903н)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Стандарт организации СТО РусГидро 05.02.126-2020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«Правила по охране труда при погрузочно-разгрузочных работах и размещении грузов» (утв. приказом Минтруда России от 28.10.2020 N 753н)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ответственности и гарантиям исполнителя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предоставляет гарантии на результаты оказанных услуг: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части услуг - в течение 5 рабочих дней после оказания услуги.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производит в течении гарантийного периода устранение всех неисправностей и дефектов, возникших в результате оказания услуг своими силами и за свой счет;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случае повреждения имущества Заказчика, не являющегося результатом оказания услуг по договору, в ходе оказания услуг, Исполнитель устраняет возникшие повреждения за свой счет в согласованные с Заказчиком сроки, но не позднее 15 календарных дней с даты подписания Сторонами УПД.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компенсирует потери от простоя оборудования в ремонте по этим причинам.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615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rFonts w:eastAsia="Times New Roman"/>
                <w:b w:val="false"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Прочие требования к оказанию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both"/>
              <w:outlineLvl w:val="2"/>
              <w:rPr>
                <w:sz w:val="20"/>
                <w:szCs w:val="20"/>
              </w:rPr>
            </w:pPr>
            <w:bookmarkStart w:id="30" w:name="_Toc128734755"/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  <w:t>Услуги оказываются в рабочие дни. Устранять замечания в установленные заказчиком сроки в рабочем порядке, в том числе в выходные и нерабочие праздничные дни .</w:t>
            </w:r>
            <w:bookmarkEnd w:id="30"/>
          </w:p>
        </w:tc>
        <w:tc>
          <w:tcPr>
            <w:tcW w:w="2540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b w:val="false"/>
                <w:bCs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sectPr>
          <w:headerReference w:type="default" r:id="rId7"/>
          <w:headerReference w:type="first" r:id="rId8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2"/>
        <w:numPr>
          <w:ilvl w:val="0"/>
          <w:numId w:val="3"/>
        </w:numPr>
        <w:spacing w:lineRule="auto" w:line="240" w:before="0" w:after="0"/>
        <w:ind w:left="0" w:right="0" w:firstLine="709"/>
        <w:jc w:val="both"/>
        <w:rPr/>
      </w:pPr>
      <w:bookmarkStart w:id="31" w:name="_Toc123112179"/>
      <w:bookmarkEnd w:id="31"/>
      <w:r>
        <w:rPr>
          <w:rFonts w:eastAsia="Tempora LGC Uni"/>
          <w:sz w:val="24"/>
          <w:szCs w:val="24"/>
          <w:lang w:val="ru-RU"/>
        </w:rPr>
        <w:t>Требования к документации по ценообразованию на этапе закупки.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Tempora LGC Uni"/>
          <w:sz w:val="24"/>
          <w:szCs w:val="24"/>
          <w:lang w:val="ru-RU"/>
        </w:rPr>
        <w:t>3.1. В обоснование стоимости своей заявки Участник предоставляет Коммерческое предложение, по установленным в Документации о закупке формам (с учетом прилагаемых к ним инструкций по заполнению).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Tempora LGC Uni"/>
          <w:sz w:val="24"/>
          <w:szCs w:val="24"/>
          <w:lang w:val="ru-RU"/>
        </w:rPr>
        <w:t>3.2. Стоимость за единицу продукции (услуги) должна включать в себя налоги, сборы, пошлины и другие обязательные платежи, стоимость расходных материалов, используемых при оказании услуг, расходы на содержание, эксплуатацию, перебазировку спецоборудования и инструментов, и прочие расходы, связанные с оказанием услуг, предусмотренные Проектом договора.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/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0" w:right="0" w:firstLine="709"/>
        <w:jc w:val="both"/>
        <w:rPr/>
      </w:pPr>
      <w:r>
        <w:rPr>
          <w:rFonts w:eastAsia="Tempora LGC Uni"/>
          <w:b/>
          <w:bCs/>
          <w:sz w:val="24"/>
          <w:szCs w:val="24"/>
          <w:lang w:val="ru-RU"/>
        </w:rPr>
        <w:t>Требования к документации по ценообразованию на этапе заключения (исполнения) договора.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Tempora LGC Uni"/>
          <w:sz w:val="24"/>
          <w:szCs w:val="24"/>
          <w:lang w:val="ru-RU"/>
        </w:rPr>
        <w:t>4.1. По результатам настоящей закупки заключается договор с предельной ценой, предложенной Участником закупки, который был признан Победителем, заявка которого соответствовала требованиям ТТ и содержала наиболее низкую цену.</w:t>
      </w:r>
      <w:bookmarkStart w:id="32" w:name="_Toc51339699"/>
      <w:bookmarkStart w:id="33" w:name="_Toc46743519"/>
    </w:p>
    <w:p>
      <w:pPr>
        <w:pStyle w:val="Normal"/>
        <w:numPr>
          <w:ilvl w:val="0"/>
          <w:numId w:val="0"/>
        </w:numPr>
        <w:ind w:left="360" w:hanging="0"/>
        <w:rPr>
          <w:rFonts w:ascii="Times New Roman" w:hAnsi="Times New Roman" w:eastAsia="Tempora LGC Uni" w:cs="Times New Roman"/>
          <w:b/>
          <w:b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empora LGC Uni" w:cs="Times New Roman"/>
          <w:b/>
          <w:bCs/>
          <w:color w:val="auto"/>
          <w:kern w:val="0"/>
          <w:sz w:val="24"/>
          <w:szCs w:val="24"/>
          <w:lang w:val="ru-RU" w:eastAsia="ru-RU" w:bidi="ar-SA"/>
        </w:rPr>
      </w:r>
    </w:p>
    <w:p>
      <w:pPr>
        <w:pStyle w:val="ListParagraph"/>
        <w:numPr>
          <w:ilvl w:val="0"/>
          <w:numId w:val="3"/>
        </w:numPr>
        <w:ind w:left="0" w:right="0" w:firstLine="709"/>
        <w:jc w:val="both"/>
        <w:rPr>
          <w:rFonts w:ascii="Times New Roman" w:hAnsi="Times New Roman" w:eastAsia="Tempora LGC Uni" w:cs="Times New Roman"/>
          <w:b/>
          <w:b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empora LGC Uni" w:cs="Times New Roman"/>
          <w:b/>
          <w:bCs/>
          <w:color w:val="auto"/>
          <w:kern w:val="0"/>
          <w:sz w:val="24"/>
          <w:szCs w:val="24"/>
          <w:lang w:val="ru-RU" w:eastAsia="ru-RU" w:bidi="ar-SA"/>
        </w:rPr>
        <w:t>Приложения</w:t>
      </w:r>
    </w:p>
    <w:p>
      <w:pPr>
        <w:pStyle w:val="ListParagraph"/>
        <w:ind w:left="360" w:hanging="0"/>
        <w:jc w:val="both"/>
        <w:rPr/>
      </w:pPr>
      <w:r>
        <w:rPr>
          <w:b/>
          <w:bCs/>
        </w:rPr>
        <w:t>Приложение № 1:</w:t>
      </w:r>
      <w:r>
        <w:rPr/>
        <w:t xml:space="preserve"> Регламент допуска персонала подрядных организаций;</w:t>
      </w:r>
    </w:p>
    <w:p>
      <w:pPr>
        <w:pStyle w:val="ListParagraph"/>
        <w:ind w:left="360" w:hanging="0"/>
        <w:jc w:val="both"/>
        <w:rPr/>
      </w:pPr>
      <w:r>
        <w:rPr>
          <w:b/>
          <w:bCs/>
        </w:rPr>
        <w:t>Приложение № 2:</w:t>
      </w:r>
      <w:r>
        <w:rPr/>
        <w:t xml:space="preserve"> Правила организации безопасного обслуживания ГТС гидросилового и гидромеханического оборудования;</w:t>
      </w:r>
    </w:p>
    <w:p>
      <w:pPr>
        <w:pStyle w:val="ListParagraph"/>
        <w:ind w:left="360" w:hanging="0"/>
        <w:jc w:val="both"/>
        <w:rPr/>
      </w:pPr>
      <w:r>
        <w:rPr>
          <w:b/>
          <w:bCs/>
        </w:rPr>
        <w:t>Приложение № 3:</w:t>
      </w:r>
      <w:r>
        <w:rPr/>
        <w:t xml:space="preserve"> Инструкция о пропускном и внутриобъектовом режимах филиала ПАО «</w:t>
      </w:r>
      <w:bookmarkStart w:id="34" w:name="_GoBack"/>
      <w:bookmarkEnd w:id="34"/>
      <w:r>
        <w:rPr/>
        <w:t>РусГидро» - «Жигулевская ГЭС»</w:t>
      </w:r>
      <w:bookmarkEnd w:id="32"/>
      <w:bookmarkEnd w:id="33"/>
      <w:r>
        <w:rPr/>
        <w:t>.</w:t>
      </w:r>
    </w:p>
    <w:sectPr>
      <w:headerReference w:type="default" r:id="rId9"/>
      <w:headerReference w:type="first" r:id="rId10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/>
        <w:bCs/>
        <w:em w:val="none"/>
        <w:vanish w:val="false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>
        <w:sz w:val="24"/>
        <w:b w:val="false"/>
        <w:szCs w:val="24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b/>
        <w:szCs w:val="20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0"/>
        <w:b w:val="false"/>
        <w:szCs w:val="2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476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db745f"/>
    <w:rPr>
      <w:color w:val="605E5C"/>
      <w:shd w:fill="E1DFDD" w:val="clear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b6b70"/>
    <w:pPr>
      <w:ind w:left="280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b6b70"/>
    <w:pPr>
      <w:tabs>
        <w:tab w:val="clear" w:pos="708"/>
        <w:tab w:val="left" w:pos="1120" w:leader="none"/>
        <w:tab w:val="right" w:pos="9911" w:leader="none"/>
      </w:tabs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110" w:customStyle="1">
    <w:name w:val="1. Статья"/>
    <w:basedOn w:val="Heading3"/>
    <w:qFormat/>
    <w:rsid w:val="00db745f"/>
    <w:pPr>
      <w:keepNext w:val="false"/>
      <w:widowControl w:val="false"/>
      <w:numPr>
        <w:ilvl w:val="0"/>
        <w:numId w:val="10"/>
      </w:numPr>
      <w:tabs>
        <w:tab w:val="clear" w:pos="708"/>
        <w:tab w:val="left" w:pos="2340" w:leader="none"/>
      </w:tabs>
      <w:overflowPunct w:val="true"/>
      <w:spacing w:before="0" w:after="0"/>
      <w:ind w:right="1462" w:hanging="0"/>
      <w:jc w:val="center"/>
      <w:textAlignment w:val="baseline"/>
    </w:pPr>
    <w:rPr>
      <w:rFonts w:eastAsia="Times New Roman"/>
      <w:b w:val="false"/>
    </w:rPr>
  </w:style>
  <w:style w:type="paragraph" w:styleId="29" w:customStyle="1">
    <w:name w:val="2. Пункт"/>
    <w:basedOn w:val="Heading3"/>
    <w:qFormat/>
    <w:rsid w:val="00db745f"/>
    <w:pPr>
      <w:keepNext w:val="false"/>
      <w:widowControl w:val="false"/>
      <w:numPr>
        <w:ilvl w:val="1"/>
        <w:numId w:val="10"/>
      </w:numPr>
      <w:overflowPunct w:val="true"/>
      <w:spacing w:before="0" w:after="0"/>
      <w:jc w:val="both"/>
      <w:textAlignment w:val="baseline"/>
    </w:pPr>
    <w:rPr>
      <w:rFonts w:eastAsia="Times New Roman"/>
      <w:b w:val="false"/>
    </w:rPr>
  </w:style>
  <w:style w:type="paragraph" w:styleId="36" w:customStyle="1">
    <w:name w:val="3. Подпункт"/>
    <w:basedOn w:val="Heading3"/>
    <w:qFormat/>
    <w:rsid w:val="00db745f"/>
    <w:pPr>
      <w:keepNext w:val="false"/>
      <w:widowControl w:val="false"/>
      <w:numPr>
        <w:ilvl w:val="2"/>
        <w:numId w:val="10"/>
      </w:numPr>
      <w:tabs>
        <w:tab w:val="clear" w:pos="708"/>
        <w:tab w:val="left" w:pos="1620" w:leader="none"/>
      </w:tabs>
      <w:overflowPunct w:val="true"/>
      <w:spacing w:before="0" w:after="0"/>
      <w:jc w:val="both"/>
      <w:textAlignment w:val="baseline"/>
    </w:pPr>
    <w:rPr>
      <w:rFonts w:eastAsia="Times New Roman"/>
      <w:bCs/>
    </w:rPr>
  </w:style>
  <w:style w:type="paragraph" w:styleId="Style33">
    <w:name w:val="Содержимое врезки"/>
    <w:basedOn w:val="Normal"/>
    <w:qFormat/>
    <w:pPr/>
    <w:rPr/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  <w:style w:type="paragraph" w:styleId="Style35">
    <w:name w:val="Заголовок таблицы"/>
    <w:basedOn w:val="Style3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numbering" w:styleId="Style36">
    <w:name w:val="Маркер •"/>
    <w:qFormat/>
  </w:style>
  <w:style w:type="numbering" w:styleId="27835684591">
    <w:name w:val="27835684591"/>
    <w:qFormat/>
  </w:style>
  <w:style w:type="numbering" w:styleId="9750616311">
    <w:name w:val="975061631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641343C4F5717A60C6C8AB164E0613718FF2BFC46E6C4EF34D8D528439w9T8N" TargetMode="External"/><Relationship Id="rId3" Type="http://schemas.openxmlformats.org/officeDocument/2006/relationships/hyperlink" Target="consultantplus://offline/ref=641343C4F5717A60C6C8AB164E0613718FF2BFC46E6C4EF34D8D528439w9T8N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header" Target="header7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AA566-DAF7-43AC-92D6-4CBB0EF12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Application>AlterOffice/3.4.0.9$Linux_X86_64 LibreOffice_project/b8daf9e823b1a5463a2f48435ddc2e8696e7d4fc</Application>
  <AppVersion>15.0000</AppVersion>
  <Pages>13</Pages>
  <Words>3326</Words>
  <Characters>23474</Characters>
  <CharactersWithSpaces>26431</CharactersWithSpaces>
  <Paragraphs>336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2024-03-20T16:12:00Z</dcterms:created>
  <dc:creator>Быстров Олег Геннадьевич</dc:creator>
  <dc:description/>
  <dc:language>ru-RU</dc:language>
  <cp:lastModifiedBy>lisitchenkoma@corp.gidroogk.com</cp:lastModifiedBy>
  <cp:lastPrinted>2025-04-11T11:32:51Z</cp:lastPrinted>
  <dcterms:modified xsi:type="dcterms:W3CDTF">2026-06-24T09:33:37Z</dcterms:modified>
  <cp:revision>50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